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484" w:rsidRPr="00C43484" w:rsidRDefault="00C43484" w:rsidP="00C43484">
      <w:pPr>
        <w:shd w:val="clear" w:color="auto" w:fill="FFFFFF"/>
        <w:adjustRightInd/>
        <w:snapToGrid/>
        <w:spacing w:after="150"/>
        <w:jc w:val="center"/>
        <w:rPr>
          <w:rFonts w:ascii="Helvetica" w:eastAsia="宋体" w:hAnsi="Helvetica" w:cs="Helvetica"/>
          <w:color w:val="333333"/>
          <w:sz w:val="21"/>
          <w:szCs w:val="21"/>
        </w:rPr>
      </w:pPr>
      <w:r w:rsidRPr="00C43484">
        <w:rPr>
          <w:rFonts w:ascii="黑体" w:eastAsia="黑体" w:hAnsi="黑体" w:cs="Helvetica" w:hint="eastAsia"/>
          <w:color w:val="333333"/>
          <w:sz w:val="32"/>
          <w:szCs w:val="32"/>
        </w:rPr>
        <w:t>公共管理硕士专业学位研究生指导性培养方案</w:t>
      </w:r>
    </w:p>
    <w:p w:rsidR="00C43484" w:rsidRPr="00C43484" w:rsidRDefault="00C43484" w:rsidP="00C43484">
      <w:pPr>
        <w:shd w:val="clear" w:color="auto" w:fill="FFFFFF"/>
        <w:adjustRightInd/>
        <w:snapToGrid/>
        <w:spacing w:after="150"/>
        <w:ind w:firstLine="555"/>
        <w:jc w:val="center"/>
        <w:rPr>
          <w:rFonts w:ascii="Helvetica" w:eastAsia="宋体" w:hAnsi="Helvetica" w:cs="Helvetica"/>
          <w:color w:val="333333"/>
          <w:sz w:val="21"/>
          <w:szCs w:val="21"/>
        </w:rPr>
      </w:pPr>
      <w:r>
        <w:rPr>
          <w:rFonts w:ascii="宋体" w:eastAsia="宋体" w:hAnsi="宋体" w:cs="宋体" w:hint="eastAsia"/>
          <w:color w:val="333333"/>
          <w:sz w:val="29"/>
          <w:szCs w:val="29"/>
        </w:rPr>
        <w:t>（2019）</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公共管理硕士（MPA）专业学位研究生教育是为适应不断发展的公共管理现代化、科学化、专业化的迫切需求，完善公共管理人才培养体系，创新公共管理人才培养模式，提高公共管理人才培养质量而设立的。</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黑体" w:eastAsia="黑体" w:hAnsi="黑体" w:cs="Helvetica" w:hint="eastAsia"/>
          <w:color w:val="333333"/>
          <w:sz w:val="29"/>
          <w:szCs w:val="29"/>
        </w:rPr>
        <w:t>一、培养目标</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培养具备良好的政治思想素质和职业道德素养，掌握系统的公共管理理论、知识和方法，具备从事公共管理与公共政策分析的能力，能够综合运用管理、政治、经济、法律、现代科技等方面知识和科学研究方法解决公共管理实际问题的德才兼备的高层次、应用型、复合型公共管理专门人才。</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黑体" w:eastAsia="黑体" w:hAnsi="黑体" w:cs="Helvetica" w:hint="eastAsia"/>
          <w:color w:val="333333"/>
          <w:sz w:val="29"/>
          <w:szCs w:val="29"/>
        </w:rPr>
        <w:t>二、招生类型及报考资格</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招生类型为“全日制”和“非全日制”，学生通过“全国硕士研究生统一入学考试”招收。</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报考资格以教育行政管理部门当年有关文件为准。一般要求具有大学本科学历和三年（含三年）以上实际工作经历。</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黑体" w:eastAsia="黑体" w:hAnsi="黑体" w:cs="Helvetica" w:hint="eastAsia"/>
          <w:color w:val="333333"/>
          <w:sz w:val="29"/>
          <w:szCs w:val="29"/>
        </w:rPr>
        <w:t>三、学习方式与年限</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入学的学生可以选择“脱产”或“非脱产”方式进行学习。具体学习方式由各培养院校根据实际情况安排。</w:t>
      </w:r>
    </w:p>
    <w:p w:rsidR="00C43484" w:rsidRPr="00C43484" w:rsidRDefault="00C43484" w:rsidP="00C43484">
      <w:pPr>
        <w:shd w:val="clear" w:color="auto" w:fill="FFFFFF"/>
        <w:adjustRightInd/>
        <w:snapToGrid/>
        <w:spacing w:after="150" w:line="585" w:lineRule="atLeast"/>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学习年限为2至4年。</w:t>
      </w:r>
    </w:p>
    <w:p w:rsidR="00C43484" w:rsidRPr="00C43484" w:rsidRDefault="00C43484" w:rsidP="00C43484">
      <w:pPr>
        <w:shd w:val="clear" w:color="auto" w:fill="FFFFFF"/>
        <w:adjustRightInd/>
        <w:snapToGrid/>
        <w:spacing w:after="150" w:line="585" w:lineRule="atLeast"/>
        <w:ind w:firstLine="555"/>
        <w:rPr>
          <w:rFonts w:ascii="Helvetica" w:eastAsia="宋体" w:hAnsi="Helvetica" w:cs="Helvetica"/>
          <w:color w:val="333333"/>
          <w:sz w:val="21"/>
          <w:szCs w:val="21"/>
        </w:rPr>
      </w:pPr>
      <w:r w:rsidRPr="00C43484">
        <w:rPr>
          <w:rFonts w:ascii="黑体" w:eastAsia="黑体" w:hAnsi="黑体" w:cs="Helvetica" w:hint="eastAsia"/>
          <w:color w:val="333333"/>
          <w:sz w:val="29"/>
          <w:szCs w:val="29"/>
        </w:rPr>
        <w:t>四、学分要求与课程设置</w:t>
      </w:r>
    </w:p>
    <w:p w:rsidR="00C43484" w:rsidRPr="00C43484" w:rsidRDefault="00C43484" w:rsidP="00C43484">
      <w:pPr>
        <w:shd w:val="clear" w:color="auto" w:fill="FFFFFF"/>
        <w:adjustRightInd/>
        <w:snapToGrid/>
        <w:spacing w:after="150" w:line="420" w:lineRule="atLeast"/>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学生培养实行学分制，总学分不少于36学分。</w:t>
      </w:r>
    </w:p>
    <w:p w:rsidR="00C43484" w:rsidRPr="00C43484" w:rsidRDefault="00C43484" w:rsidP="00C43484">
      <w:pPr>
        <w:shd w:val="clear" w:color="auto" w:fill="FFFFFF"/>
        <w:adjustRightInd/>
        <w:snapToGrid/>
        <w:spacing w:after="150" w:line="420" w:lineRule="atLeast"/>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课程设置突出理论与实践相结合的原则，分为核心课、专业方向必修课、选修课和社会实践四方面基本模块。其中，核心课不少于19学分，专业方向必修课不少于8学分，选修课不少于7学分，社会实践为2学分。课程学习中，每个学分学习时间不少于16课时。</w:t>
      </w:r>
    </w:p>
    <w:p w:rsidR="00C43484" w:rsidRPr="00C43484" w:rsidRDefault="00C43484" w:rsidP="00C43484">
      <w:pPr>
        <w:shd w:val="clear" w:color="auto" w:fill="FFFFFF"/>
        <w:adjustRightInd/>
        <w:snapToGrid/>
        <w:spacing w:after="150" w:line="420" w:lineRule="atLeast"/>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lastRenderedPageBreak/>
        <w:t>1.核心课是学生必修课程。“核心课程目录”共列13门课，其中，“中国特色社会主义理论与实践研究”、“外国语”和“学术规范和论文写作”为学位教育必设课程； “公共管理”、“公共政策分析”和“社会研究方法”是本专业必设核心课程；其他核心课程，由各培养院校从“核心课程目录”中选择开设。</w:t>
      </w:r>
    </w:p>
    <w:p w:rsidR="00C43484" w:rsidRPr="00C43484" w:rsidRDefault="00C43484" w:rsidP="00C43484">
      <w:pPr>
        <w:shd w:val="clear" w:color="auto" w:fill="FFFFFF"/>
        <w:adjustRightInd/>
        <w:snapToGrid/>
        <w:spacing w:after="150" w:line="420" w:lineRule="atLeast"/>
        <w:ind w:firstLine="555"/>
        <w:rPr>
          <w:rFonts w:ascii="Helvetica" w:eastAsia="宋体" w:hAnsi="Helvetica" w:cs="Helvetica"/>
          <w:color w:val="333333"/>
          <w:sz w:val="21"/>
          <w:szCs w:val="21"/>
        </w:rPr>
      </w:pPr>
      <w:r w:rsidRPr="00C43484">
        <w:rPr>
          <w:rFonts w:ascii="宋体" w:eastAsia="宋体" w:hAnsi="宋体" w:cs="宋体" w:hint="eastAsia"/>
          <w:color w:val="333333"/>
          <w:sz w:val="29"/>
          <w:szCs w:val="29"/>
        </w:rPr>
        <w:t>               </w:t>
      </w:r>
      <w:r w:rsidRPr="00C43484">
        <w:rPr>
          <w:rFonts w:ascii="仿宋" w:eastAsia="仿宋" w:hAnsi="仿宋" w:cs="Helvetica" w:hint="eastAsia"/>
          <w:color w:val="333333"/>
          <w:sz w:val="29"/>
          <w:szCs w:val="29"/>
        </w:rPr>
        <w:t>核心课程目录</w:t>
      </w:r>
    </w:p>
    <w:tbl>
      <w:tblPr>
        <w:tblW w:w="0" w:type="dxa"/>
        <w:shd w:val="clear" w:color="auto" w:fill="FFFFFF"/>
        <w:tblCellMar>
          <w:left w:w="0" w:type="dxa"/>
          <w:right w:w="0" w:type="dxa"/>
        </w:tblCellMar>
        <w:tblLook w:val="04A0"/>
      </w:tblPr>
      <w:tblGrid>
        <w:gridCol w:w="810"/>
        <w:gridCol w:w="3645"/>
        <w:gridCol w:w="2040"/>
        <w:gridCol w:w="1980"/>
      </w:tblGrid>
      <w:tr w:rsidR="00C43484" w:rsidRPr="00C43484" w:rsidTr="00C43484">
        <w:trPr>
          <w:trHeight w:val="510"/>
        </w:trPr>
        <w:tc>
          <w:tcPr>
            <w:tcW w:w="810" w:type="dxa"/>
            <w:tcBorders>
              <w:top w:val="double" w:sz="6" w:space="0" w:color="000000"/>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序号</w:t>
            </w:r>
          </w:p>
        </w:tc>
        <w:tc>
          <w:tcPr>
            <w:tcW w:w="3645" w:type="dxa"/>
            <w:tcBorders>
              <w:top w:val="doub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课程名称</w:t>
            </w:r>
          </w:p>
        </w:tc>
        <w:tc>
          <w:tcPr>
            <w:tcW w:w="2040" w:type="dxa"/>
            <w:tcBorders>
              <w:top w:val="double" w:sz="6" w:space="0" w:color="000000"/>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课程类别</w:t>
            </w:r>
          </w:p>
        </w:tc>
        <w:tc>
          <w:tcPr>
            <w:tcW w:w="1980" w:type="dxa"/>
            <w:tcBorders>
              <w:top w:val="double" w:sz="6" w:space="0" w:color="000000"/>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建议最低学分</w:t>
            </w:r>
          </w:p>
        </w:tc>
      </w:tr>
      <w:tr w:rsidR="00C43484" w:rsidRPr="00C43484" w:rsidTr="00C43484">
        <w:trPr>
          <w:trHeight w:val="1170"/>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1</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中国特色社会主义理论与实践研究</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学位教育必设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2</w:t>
            </w:r>
          </w:p>
        </w:tc>
      </w:tr>
      <w:tr w:rsidR="00C43484" w:rsidRPr="00C43484" w:rsidTr="00C43484">
        <w:trPr>
          <w:trHeight w:val="510"/>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2</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外国语</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学位教育必设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2</w:t>
            </w:r>
          </w:p>
        </w:tc>
      </w:tr>
      <w:tr w:rsidR="00C43484" w:rsidRPr="00C43484" w:rsidTr="00C43484">
        <w:trPr>
          <w:trHeight w:val="510"/>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3</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学术规范和论文写作</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学位教育必设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1</w:t>
            </w:r>
          </w:p>
        </w:tc>
      </w:tr>
      <w:tr w:rsidR="00C43484" w:rsidRPr="00C43484" w:rsidTr="00C43484">
        <w:trPr>
          <w:trHeight w:val="510"/>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4</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公共管理</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专业必设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3</w:t>
            </w:r>
          </w:p>
        </w:tc>
      </w:tr>
      <w:tr w:rsidR="00C43484" w:rsidRPr="00C43484" w:rsidTr="00C43484">
        <w:trPr>
          <w:trHeight w:val="510"/>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5</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公共政策分析</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专业必设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3</w:t>
            </w:r>
          </w:p>
        </w:tc>
      </w:tr>
      <w:tr w:rsidR="00C43484" w:rsidRPr="00C43484" w:rsidTr="00C43484">
        <w:trPr>
          <w:trHeight w:val="510"/>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6</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社会研究方法</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专业必设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3</w:t>
            </w:r>
          </w:p>
        </w:tc>
      </w:tr>
      <w:tr w:rsidR="00C43484" w:rsidRPr="00C43484" w:rsidTr="00C43484">
        <w:trPr>
          <w:trHeight w:val="510"/>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7</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政治学</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选设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2</w:t>
            </w:r>
          </w:p>
        </w:tc>
      </w:tr>
      <w:tr w:rsidR="00C43484" w:rsidRPr="00C43484" w:rsidTr="00C43484">
        <w:trPr>
          <w:trHeight w:val="510"/>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8</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公共经济学</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选设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2</w:t>
            </w:r>
          </w:p>
        </w:tc>
      </w:tr>
      <w:tr w:rsidR="00C43484" w:rsidRPr="00C43484" w:rsidTr="00C43484">
        <w:trPr>
          <w:trHeight w:val="510"/>
        </w:trPr>
        <w:tc>
          <w:tcPr>
            <w:tcW w:w="810" w:type="dxa"/>
            <w:tcBorders>
              <w:top w:val="nil"/>
              <w:left w:val="double" w:sz="6" w:space="0" w:color="000000"/>
              <w:bottom w:val="single" w:sz="6" w:space="0" w:color="auto"/>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9</w:t>
            </w:r>
          </w:p>
        </w:tc>
        <w:tc>
          <w:tcPr>
            <w:tcW w:w="3645" w:type="dxa"/>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宪法与行政法</w:t>
            </w:r>
          </w:p>
        </w:tc>
        <w:tc>
          <w:tcPr>
            <w:tcW w:w="2040" w:type="dxa"/>
            <w:tcBorders>
              <w:top w:val="nil"/>
              <w:left w:val="nil"/>
              <w:bottom w:val="single" w:sz="6" w:space="0" w:color="auto"/>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选设</w:t>
            </w:r>
          </w:p>
        </w:tc>
        <w:tc>
          <w:tcPr>
            <w:tcW w:w="1980" w:type="dxa"/>
            <w:tcBorders>
              <w:top w:val="nil"/>
              <w:left w:val="nil"/>
              <w:bottom w:val="single" w:sz="6" w:space="0" w:color="auto"/>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2</w:t>
            </w:r>
          </w:p>
        </w:tc>
      </w:tr>
      <w:tr w:rsidR="00C43484" w:rsidRPr="00C43484" w:rsidTr="00C43484">
        <w:trPr>
          <w:trHeight w:val="555"/>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10</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社会组织管理</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选设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2</w:t>
            </w:r>
          </w:p>
        </w:tc>
      </w:tr>
      <w:tr w:rsidR="00C43484" w:rsidRPr="00C43484" w:rsidTr="00C43484">
        <w:trPr>
          <w:trHeight w:val="510"/>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11</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公共伦理</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选设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2</w:t>
            </w:r>
          </w:p>
        </w:tc>
      </w:tr>
      <w:tr w:rsidR="00C43484" w:rsidRPr="00C43484" w:rsidTr="00C43484">
        <w:trPr>
          <w:trHeight w:val="510"/>
        </w:trPr>
        <w:tc>
          <w:tcPr>
            <w:tcW w:w="810" w:type="dxa"/>
            <w:tcBorders>
              <w:top w:val="nil"/>
              <w:left w:val="double" w:sz="6" w:space="0" w:color="000000"/>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12</w:t>
            </w:r>
          </w:p>
        </w:tc>
        <w:tc>
          <w:tcPr>
            <w:tcW w:w="3645"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电子政务</w:t>
            </w:r>
          </w:p>
        </w:tc>
        <w:tc>
          <w:tcPr>
            <w:tcW w:w="2040" w:type="dxa"/>
            <w:tcBorders>
              <w:top w:val="nil"/>
              <w:left w:val="nil"/>
              <w:bottom w:val="sing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选设</w:t>
            </w:r>
          </w:p>
        </w:tc>
        <w:tc>
          <w:tcPr>
            <w:tcW w:w="1980" w:type="dxa"/>
            <w:tcBorders>
              <w:top w:val="nil"/>
              <w:left w:val="nil"/>
              <w:bottom w:val="sing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2</w:t>
            </w:r>
          </w:p>
        </w:tc>
      </w:tr>
      <w:tr w:rsidR="00C43484" w:rsidRPr="00C43484" w:rsidTr="00C43484">
        <w:trPr>
          <w:trHeight w:val="510"/>
        </w:trPr>
        <w:tc>
          <w:tcPr>
            <w:tcW w:w="810" w:type="dxa"/>
            <w:tcBorders>
              <w:top w:val="nil"/>
              <w:left w:val="double" w:sz="6" w:space="0" w:color="000000"/>
              <w:bottom w:val="doub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13</w:t>
            </w:r>
          </w:p>
        </w:tc>
        <w:tc>
          <w:tcPr>
            <w:tcW w:w="3645" w:type="dxa"/>
            <w:tcBorders>
              <w:top w:val="nil"/>
              <w:left w:val="nil"/>
              <w:bottom w:val="doub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line="315" w:lineRule="atLeast"/>
              <w:rPr>
                <w:rFonts w:ascii="Helvetica" w:eastAsia="宋体" w:hAnsi="Helvetica" w:cs="Helvetica"/>
                <w:color w:val="333333"/>
                <w:sz w:val="21"/>
                <w:szCs w:val="21"/>
              </w:rPr>
            </w:pPr>
            <w:r w:rsidRPr="00C43484">
              <w:rPr>
                <w:rFonts w:ascii="仿宋" w:eastAsia="仿宋" w:hAnsi="仿宋" w:cs="Helvetica" w:hint="eastAsia"/>
                <w:color w:val="333333"/>
                <w:sz w:val="29"/>
                <w:szCs w:val="29"/>
              </w:rPr>
              <w:t>公文写作</w:t>
            </w:r>
          </w:p>
        </w:tc>
        <w:tc>
          <w:tcPr>
            <w:tcW w:w="2040" w:type="dxa"/>
            <w:tcBorders>
              <w:top w:val="nil"/>
              <w:left w:val="nil"/>
              <w:bottom w:val="double" w:sz="6" w:space="0" w:color="000000"/>
              <w:right w:val="sing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选设</w:t>
            </w:r>
          </w:p>
        </w:tc>
        <w:tc>
          <w:tcPr>
            <w:tcW w:w="1980" w:type="dxa"/>
            <w:tcBorders>
              <w:top w:val="nil"/>
              <w:left w:val="nil"/>
              <w:bottom w:val="double" w:sz="6" w:space="0" w:color="000000"/>
              <w:right w:val="double" w:sz="6" w:space="0" w:color="000000"/>
            </w:tcBorders>
            <w:shd w:val="clear" w:color="auto" w:fill="auto"/>
            <w:tcMar>
              <w:top w:w="0" w:type="dxa"/>
              <w:left w:w="105" w:type="dxa"/>
              <w:bottom w:w="0" w:type="dxa"/>
              <w:right w:w="105" w:type="dxa"/>
            </w:tcMar>
            <w:vAlign w:val="center"/>
            <w:hideMark/>
          </w:tcPr>
          <w:p w:rsidR="00C43484" w:rsidRPr="00C43484" w:rsidRDefault="00C43484" w:rsidP="00C43484">
            <w:pPr>
              <w:adjustRightInd/>
              <w:snapToGrid/>
              <w:spacing w:after="0"/>
              <w:jc w:val="center"/>
              <w:rPr>
                <w:rFonts w:ascii="Helvetica" w:eastAsia="宋体" w:hAnsi="Helvetica" w:cs="Helvetica"/>
                <w:color w:val="333333"/>
                <w:sz w:val="21"/>
                <w:szCs w:val="21"/>
              </w:rPr>
            </w:pPr>
            <w:r w:rsidRPr="00C43484">
              <w:rPr>
                <w:rFonts w:ascii="仿宋" w:eastAsia="仿宋" w:hAnsi="仿宋" w:cs="Helvetica" w:hint="eastAsia"/>
                <w:color w:val="333333"/>
                <w:sz w:val="29"/>
                <w:szCs w:val="29"/>
              </w:rPr>
              <w:t>2</w:t>
            </w:r>
          </w:p>
        </w:tc>
      </w:tr>
    </w:tbl>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2.专业方向必修课和选修课由各培养院校根据公共管理学科范畴、院校自身办学特色和社会公共管理事业对于人才的培养需求，自行设计和设置。</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3.社会实践时间为三个月。社会实践应在教师的指导下进行，社会实践结束后，学生须提交社会实践报告。对于社会实践报告的具体要求，由各培养院校自行制定，总体上应致力于培养学生</w:t>
      </w:r>
      <w:r w:rsidRPr="00C43484">
        <w:rPr>
          <w:rFonts w:ascii="仿宋" w:eastAsia="仿宋" w:hAnsi="仿宋" w:cs="Helvetica" w:hint="eastAsia"/>
          <w:color w:val="333333"/>
          <w:sz w:val="29"/>
          <w:szCs w:val="29"/>
        </w:rPr>
        <w:lastRenderedPageBreak/>
        <w:t>学以致用的素养和能力。各培养院校应安排缺乏公共管理实际工作经验的学生到政府部门或非政府公共机构进行社会实践。</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黑体" w:eastAsia="黑体" w:hAnsi="黑体" w:cs="Helvetica" w:hint="eastAsia"/>
          <w:color w:val="333333"/>
          <w:sz w:val="29"/>
          <w:szCs w:val="29"/>
        </w:rPr>
        <w:t>五、师资队伍</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各培养院校应逐步建立“双师型”师资队伍，即专职教师和兼职教师队伍。</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专职教师队伍是指本校编制内的全职教师。担任核心课的教师应为专职教师，并具有相关学科博士学位或副教授以上职称。每门核心课程原则上配备至少2名教师，同一名教师原则上不应作为不同核心课程的核心成员。兼职教师队伍要在专业方向课教学中发挥重要作用，参与专业方向学生培养的兼职教师原则上应不少于专业方向师资队伍的三分之一。各培养院校应选聘具有扎实理论功底、丰富实践经验的政府部门和其他公共机构的中高层领导干部担任兼职教师，并且确保他们积极参与学生的培养工作。</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各个专业方向必须有明确的师资团队承担教学任务。</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黑体" w:eastAsia="黑体" w:hAnsi="黑体" w:cs="Helvetica" w:hint="eastAsia"/>
          <w:color w:val="333333"/>
          <w:sz w:val="29"/>
          <w:szCs w:val="29"/>
        </w:rPr>
        <w:t>六、教学形式</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采用多元、互动的教学方式。综合运用讲授、研究、案例分析、体验、模拟等多种教学方法，把多种形式有机结合起来，着重培养学生分析问题和解决问题的能力。</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黑体" w:eastAsia="黑体" w:hAnsi="黑体" w:cs="Helvetica" w:hint="eastAsia"/>
          <w:color w:val="333333"/>
          <w:sz w:val="29"/>
          <w:szCs w:val="29"/>
        </w:rPr>
        <w:t>七、学位论文</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学位论文应体现专业学位的特点，选题紧密结合公共管理实践中的具体问题，特别鼓励学生选择与自己的工作领域和工作岗位相关的问题展开论文研究。学生应该运用所学理论、知识和方法，展开</w:t>
      </w:r>
      <w:r w:rsidRPr="00C43484">
        <w:rPr>
          <w:rFonts w:ascii="仿宋" w:eastAsia="仿宋" w:hAnsi="仿宋" w:cs="Helvetica" w:hint="eastAsia"/>
          <w:color w:val="000000"/>
          <w:sz w:val="29"/>
          <w:szCs w:val="29"/>
        </w:rPr>
        <w:t>调查研究与</w:t>
      </w:r>
      <w:r w:rsidRPr="00C43484">
        <w:rPr>
          <w:rFonts w:ascii="仿宋" w:eastAsia="仿宋" w:hAnsi="仿宋" w:cs="Helvetica" w:hint="eastAsia"/>
          <w:color w:val="333333"/>
          <w:sz w:val="29"/>
          <w:szCs w:val="29"/>
        </w:rPr>
        <w:t>分析论述，并提出相关政策建议或改进管理的措施。</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学位论文应在导师指导下，经过开题、写作、答辩等环节完成。其中，论文开题时间应至少在答辩前半年进行，论文正文字数应在2万字以上。</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黑体" w:eastAsia="黑体" w:hAnsi="黑体" w:cs="Helvetica" w:hint="eastAsia"/>
          <w:color w:val="333333"/>
          <w:sz w:val="29"/>
          <w:szCs w:val="29"/>
        </w:rPr>
        <w:t>八、学位授予</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t>完成课程学习及社会实践环节，取得规定学分，并通过学位论文答辩者，经学位授予单位学位评定委员会审核，授予公共管理硕士专业学位。</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黑体" w:eastAsia="黑体" w:hAnsi="黑体" w:cs="Helvetica" w:hint="eastAsia"/>
          <w:color w:val="333333"/>
          <w:sz w:val="29"/>
          <w:szCs w:val="29"/>
        </w:rPr>
        <w:t>九、办学环境</w:t>
      </w:r>
    </w:p>
    <w:p w:rsidR="00C43484" w:rsidRPr="00C43484" w:rsidRDefault="00C43484" w:rsidP="00C43484">
      <w:pPr>
        <w:shd w:val="clear" w:color="auto" w:fill="FFFFFF"/>
        <w:adjustRightInd/>
        <w:snapToGrid/>
        <w:spacing w:after="150"/>
        <w:ind w:firstLine="555"/>
        <w:rPr>
          <w:rFonts w:ascii="Helvetica" w:eastAsia="宋体" w:hAnsi="Helvetica" w:cs="Helvetica"/>
          <w:color w:val="333333"/>
          <w:sz w:val="21"/>
          <w:szCs w:val="21"/>
        </w:rPr>
      </w:pPr>
      <w:r w:rsidRPr="00C43484">
        <w:rPr>
          <w:rFonts w:ascii="仿宋" w:eastAsia="仿宋" w:hAnsi="仿宋" w:cs="Helvetica" w:hint="eastAsia"/>
          <w:color w:val="333333"/>
          <w:sz w:val="29"/>
          <w:szCs w:val="29"/>
        </w:rPr>
        <w:lastRenderedPageBreak/>
        <w:t>各培养院校应为公共管理硕士（MPA）专业学位研究生提供与其他在校学术型研究生同等标准的办学环境和学习条件，包括硬件设施、教学投入、学习保障、后勤服务等。同时，根据公共管理硕士（MPA）专业学位研究生的教学特点，应特别注意加强案例分析和研讨所需相关设施的建设。</w:t>
      </w:r>
      <w:r w:rsidRPr="00C43484">
        <w:rPr>
          <w:rFonts w:ascii="宋体" w:eastAsia="宋体" w:hAnsi="宋体" w:cs="宋体" w:hint="eastAsia"/>
          <w:color w:val="333333"/>
          <w:sz w:val="29"/>
          <w:szCs w:val="29"/>
        </w:rP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8B7726"/>
    <w:rsid w:val="009B4CDC"/>
    <w:rsid w:val="00C43484"/>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C43484"/>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0874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291</Words>
  <Characters>1660</Characters>
  <Application>Microsoft Office Word</Application>
  <DocSecurity>0</DocSecurity>
  <Lines>13</Lines>
  <Paragraphs>3</Paragraphs>
  <ScaleCrop>false</ScaleCrop>
  <Company/>
  <LinksUpToDate>false</LinksUpToDate>
  <CharactersWithSpaces>1948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2008-09-11T17:20:00Z</dcterms:created>
  <dcterms:modified xsi:type="dcterms:W3CDTF">2021-03-24T06:54:00Z</dcterms:modified>
</cp:coreProperties>
</file>